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B3CF" w14:textId="7207CD99" w:rsidR="19EA414A" w:rsidRDefault="19EA414A" w:rsidP="7E78CA59">
      <w:pPr>
        <w:jc w:val="center"/>
        <w:rPr>
          <w:rFonts w:ascii="Open Sans" w:eastAsia="Open Sans" w:hAnsi="Open Sans" w:cs="Open Sans"/>
          <w:b/>
          <w:bCs/>
        </w:rPr>
      </w:pPr>
      <w:r w:rsidRPr="7E78CA59">
        <w:rPr>
          <w:rFonts w:ascii="Open Sans" w:eastAsia="Open Sans" w:hAnsi="Open Sans" w:cs="Open Sans"/>
          <w:b/>
          <w:bCs/>
        </w:rPr>
        <w:t>Addendum 1</w:t>
      </w:r>
    </w:p>
    <w:p w14:paraId="7698E933" w14:textId="77777777" w:rsidR="00500416" w:rsidRDefault="684DC9E9" w:rsidP="7E78CA59">
      <w:pPr>
        <w:jc w:val="center"/>
        <w:rPr>
          <w:rFonts w:ascii="Open Sans" w:eastAsia="Open Sans" w:hAnsi="Open Sans" w:cs="Open Sans"/>
          <w:b/>
          <w:bCs/>
        </w:rPr>
      </w:pPr>
      <w:r w:rsidRPr="7E78CA59">
        <w:rPr>
          <w:rFonts w:ascii="Open Sans" w:eastAsia="Open Sans" w:hAnsi="Open Sans" w:cs="Open Sans"/>
          <w:b/>
          <w:bCs/>
        </w:rPr>
        <w:t xml:space="preserve">Program Priorities </w:t>
      </w:r>
    </w:p>
    <w:p w14:paraId="56135C8D" w14:textId="7332955C" w:rsidR="009F6F35" w:rsidRPr="001852BD" w:rsidRDefault="684DC9E9" w:rsidP="7E78CA59">
      <w:pPr>
        <w:jc w:val="center"/>
        <w:rPr>
          <w:rFonts w:ascii="Open Sans" w:eastAsia="Open Sans" w:hAnsi="Open Sans" w:cs="Open Sans"/>
          <w:b/>
          <w:bCs/>
        </w:rPr>
      </w:pPr>
      <w:r w:rsidRPr="7E78CA59">
        <w:rPr>
          <w:rFonts w:ascii="Open Sans" w:eastAsia="Open Sans" w:hAnsi="Open Sans" w:cs="Open Sans"/>
          <w:b/>
          <w:bCs/>
        </w:rPr>
        <w:t>Examples</w:t>
      </w:r>
    </w:p>
    <w:p w14:paraId="2C0C6A9D" w14:textId="183589A4" w:rsidR="001852BD" w:rsidRDefault="41B12E23" w:rsidP="7E78CA59">
      <w:pPr>
        <w:rPr>
          <w:rFonts w:ascii="Open Sans" w:eastAsia="Open Sans" w:hAnsi="Open Sans" w:cs="Open Sans"/>
        </w:rPr>
      </w:pPr>
      <w:r w:rsidRPr="7E78CA59">
        <w:rPr>
          <w:rFonts w:ascii="Open Sans" w:eastAsia="Open Sans" w:hAnsi="Open Sans" w:cs="Open Sans"/>
        </w:rPr>
        <w:t xml:space="preserve">The following examples shall not be construed as limiting the types of initiatives that may apply for funding under each program priority. They </w:t>
      </w:r>
      <w:proofErr w:type="gramStart"/>
      <w:r w:rsidRPr="7E78CA59">
        <w:rPr>
          <w:rFonts w:ascii="Open Sans" w:eastAsia="Open Sans" w:hAnsi="Open Sans" w:cs="Open Sans"/>
        </w:rPr>
        <w:t>are intended</w:t>
      </w:r>
      <w:proofErr w:type="gramEnd"/>
      <w:r w:rsidRPr="7E78CA59">
        <w:rPr>
          <w:rFonts w:ascii="Open Sans" w:eastAsia="Open Sans" w:hAnsi="Open Sans" w:cs="Open Sans"/>
        </w:rPr>
        <w:t xml:space="preserve"> to provide examples of the types of initiatives that the Council is looking to f</w:t>
      </w:r>
      <w:r w:rsidR="104C84E5" w:rsidRPr="7E78CA59">
        <w:rPr>
          <w:rFonts w:ascii="Open Sans" w:eastAsia="Open Sans" w:hAnsi="Open Sans" w:cs="Open Sans"/>
        </w:rPr>
        <w:t xml:space="preserve">und to further R2 Program goals. </w:t>
      </w:r>
    </w:p>
    <w:p w14:paraId="601CA2ED" w14:textId="46C84A05" w:rsidR="7E78CA59" w:rsidRDefault="7E78CA59" w:rsidP="7E78CA59">
      <w:pPr>
        <w:rPr>
          <w:rFonts w:ascii="Open Sans" w:eastAsia="Open Sans" w:hAnsi="Open Sans" w:cs="Open Sans"/>
        </w:rPr>
      </w:pPr>
    </w:p>
    <w:p w14:paraId="319B5496" w14:textId="0753FED8" w:rsidR="001852BD" w:rsidRPr="001852BD" w:rsidRDefault="684DC9E9" w:rsidP="7E78CA59">
      <w:pPr>
        <w:pStyle w:val="ListParagraph"/>
        <w:numPr>
          <w:ilvl w:val="0"/>
          <w:numId w:val="32"/>
        </w:numPr>
        <w:rPr>
          <w:rFonts w:ascii="Open Sans" w:eastAsia="Open Sans" w:hAnsi="Open Sans" w:cs="Open Sans"/>
          <w:b/>
          <w:bCs/>
        </w:rPr>
      </w:pPr>
      <w:r w:rsidRPr="7E78CA59">
        <w:rPr>
          <w:rFonts w:ascii="Open Sans" w:eastAsia="Open Sans" w:hAnsi="Open Sans" w:cs="Open Sans"/>
          <w:b/>
          <w:bCs/>
        </w:rPr>
        <w:t>Economic Development</w:t>
      </w:r>
    </w:p>
    <w:p w14:paraId="26046F70" w14:textId="0C8E8E0B" w:rsidR="001852BD" w:rsidRPr="001852BD" w:rsidRDefault="684DC9E9" w:rsidP="7E78CA59">
      <w:pPr>
        <w:rPr>
          <w:rFonts w:ascii="Open Sans" w:eastAsia="Open Sans" w:hAnsi="Open Sans" w:cs="Open Sans"/>
        </w:rPr>
      </w:pPr>
      <w:r w:rsidRPr="7E78CA59">
        <w:rPr>
          <w:rFonts w:ascii="Open Sans" w:eastAsia="Open Sans" w:hAnsi="Open Sans" w:cs="Open Sans"/>
        </w:rPr>
        <w:t>Economic Development initiat</w:t>
      </w:r>
      <w:r w:rsidR="64EE3A89" w:rsidRPr="7E78CA59">
        <w:rPr>
          <w:rFonts w:ascii="Open Sans" w:eastAsia="Open Sans" w:hAnsi="Open Sans" w:cs="Open Sans"/>
        </w:rPr>
        <w:t>ive</w:t>
      </w:r>
      <w:r w:rsidRPr="7E78CA59">
        <w:rPr>
          <w:rFonts w:ascii="Open Sans" w:eastAsia="Open Sans" w:hAnsi="Open Sans" w:cs="Open Sans"/>
        </w:rPr>
        <w:t>s eligible for funding include, but are not limited to:</w:t>
      </w:r>
    </w:p>
    <w:p w14:paraId="164B1531" w14:textId="790CDBB6" w:rsidR="001852BD" w:rsidRPr="001852BD" w:rsidRDefault="684DC9E9" w:rsidP="7E78CA59">
      <w:pPr>
        <w:numPr>
          <w:ilvl w:val="0"/>
          <w:numId w:val="1"/>
        </w:numPr>
        <w:rPr>
          <w:rFonts w:ascii="Open Sans" w:eastAsia="Open Sans" w:hAnsi="Open Sans" w:cs="Open Sans"/>
        </w:rPr>
      </w:pPr>
      <w:r w:rsidRPr="7E78CA59">
        <w:rPr>
          <w:rFonts w:ascii="Open Sans" w:eastAsia="Open Sans" w:hAnsi="Open Sans" w:cs="Open Sans"/>
          <w:b/>
          <w:bCs/>
        </w:rPr>
        <w:t>Job Training</w:t>
      </w:r>
      <w:r w:rsidRPr="7E78CA59">
        <w:rPr>
          <w:rFonts w:ascii="Open Sans" w:eastAsia="Open Sans" w:hAnsi="Open Sans" w:cs="Open Sans"/>
        </w:rPr>
        <w:t>: provide training and coaching in basic skills needed to achieve employment in the short term, such as resume writing, interview skills, and appropriate workplace communication and behavior. </w:t>
      </w:r>
    </w:p>
    <w:p w14:paraId="06534783" w14:textId="04607198" w:rsidR="001852BD" w:rsidRPr="001852BD" w:rsidRDefault="684DC9E9" w:rsidP="7E78CA59">
      <w:pPr>
        <w:numPr>
          <w:ilvl w:val="0"/>
          <w:numId w:val="2"/>
        </w:numPr>
        <w:rPr>
          <w:rFonts w:ascii="Open Sans" w:eastAsia="Open Sans" w:hAnsi="Open Sans" w:cs="Open Sans"/>
        </w:rPr>
      </w:pPr>
      <w:r w:rsidRPr="7E78CA59">
        <w:rPr>
          <w:rFonts w:ascii="Open Sans" w:eastAsia="Open Sans" w:hAnsi="Open Sans" w:cs="Open Sans"/>
          <w:b/>
          <w:bCs/>
        </w:rPr>
        <w:t>Employment Access</w:t>
      </w:r>
      <w:r w:rsidRPr="7E78CA59">
        <w:rPr>
          <w:rFonts w:ascii="Open Sans" w:eastAsia="Open Sans" w:hAnsi="Open Sans" w:cs="Open Sans"/>
        </w:rPr>
        <w:t>: provide referral routes/connections between service providers and employers; develop opportunities with employers for program participants to receive fair consideration for employment, especially participants in traditionally underemployed groups. </w:t>
      </w:r>
    </w:p>
    <w:p w14:paraId="2C99309A" w14:textId="397F3E5B" w:rsidR="001852BD" w:rsidRPr="001852BD" w:rsidRDefault="684DC9E9" w:rsidP="7E78CA59">
      <w:pPr>
        <w:numPr>
          <w:ilvl w:val="0"/>
          <w:numId w:val="3"/>
        </w:numPr>
        <w:rPr>
          <w:rFonts w:ascii="Open Sans" w:eastAsia="Open Sans" w:hAnsi="Open Sans" w:cs="Open Sans"/>
        </w:rPr>
      </w:pPr>
      <w:r w:rsidRPr="7E78CA59">
        <w:rPr>
          <w:rFonts w:ascii="Open Sans" w:eastAsia="Open Sans" w:hAnsi="Open Sans" w:cs="Open Sans"/>
          <w:b/>
          <w:bCs/>
        </w:rPr>
        <w:t>Workforce Development</w:t>
      </w:r>
      <w:r w:rsidRPr="7E78CA59">
        <w:rPr>
          <w:rFonts w:ascii="Open Sans" w:eastAsia="Open Sans" w:hAnsi="Open Sans" w:cs="Open Sans"/>
        </w:rPr>
        <w:t>: provide mentorship, professional development, and continuing education opportunities to both employed and unemployed participants, giving them opportunities to improve their employment situation. </w:t>
      </w:r>
    </w:p>
    <w:p w14:paraId="0EB65713" w14:textId="2FE85F05" w:rsidR="001852BD" w:rsidRPr="001852BD" w:rsidRDefault="684DC9E9" w:rsidP="7E78CA59">
      <w:pPr>
        <w:numPr>
          <w:ilvl w:val="0"/>
          <w:numId w:val="4"/>
        </w:numPr>
        <w:rPr>
          <w:rFonts w:ascii="Open Sans" w:eastAsia="Open Sans" w:hAnsi="Open Sans" w:cs="Open Sans"/>
        </w:rPr>
      </w:pPr>
      <w:r w:rsidRPr="7E78CA59">
        <w:rPr>
          <w:rFonts w:ascii="Open Sans" w:eastAsia="Open Sans" w:hAnsi="Open Sans" w:cs="Open Sans"/>
          <w:b/>
          <w:bCs/>
        </w:rPr>
        <w:t>Sector Skills Training</w:t>
      </w:r>
      <w:r w:rsidRPr="7E78CA59">
        <w:rPr>
          <w:rFonts w:ascii="Open Sans" w:eastAsia="Open Sans" w:hAnsi="Open Sans" w:cs="Open Sans"/>
        </w:rPr>
        <w:t>: provide training and coaching in specific skill sets required to achieve skills-based employment or professional development in specific skilled fields or sectors, such as certification training programs and trades instruction. </w:t>
      </w:r>
    </w:p>
    <w:p w14:paraId="04373B50" w14:textId="77777777" w:rsidR="001852BD" w:rsidRPr="001852BD" w:rsidRDefault="684DC9E9" w:rsidP="7E78CA59">
      <w:pPr>
        <w:numPr>
          <w:ilvl w:val="0"/>
          <w:numId w:val="5"/>
        </w:numPr>
        <w:rPr>
          <w:rFonts w:ascii="Open Sans" w:eastAsia="Open Sans" w:hAnsi="Open Sans" w:cs="Open Sans"/>
        </w:rPr>
      </w:pPr>
      <w:r w:rsidRPr="7E78CA59">
        <w:rPr>
          <w:rFonts w:ascii="Open Sans" w:eastAsia="Open Sans" w:hAnsi="Open Sans" w:cs="Open Sans"/>
          <w:b/>
          <w:bCs/>
        </w:rPr>
        <w:t>Neighborhood Revitalization</w:t>
      </w:r>
      <w:r w:rsidRPr="7E78CA59">
        <w:rPr>
          <w:rFonts w:ascii="Open Sans" w:eastAsia="Open Sans" w:hAnsi="Open Sans" w:cs="Open Sans"/>
        </w:rPr>
        <w:t xml:space="preserve">: implement improvements to communities by providing uplifting economic opportunities and quality of life for residents, </w:t>
      </w:r>
      <w:r w:rsidRPr="7E78CA59">
        <w:rPr>
          <w:rFonts w:ascii="Open Sans" w:eastAsia="Open Sans" w:hAnsi="Open Sans" w:cs="Open Sans"/>
        </w:rPr>
        <w:lastRenderedPageBreak/>
        <w:t>including improving safety, livability, food opportunity, and investment opportunity. </w:t>
      </w:r>
    </w:p>
    <w:p w14:paraId="55EB2382" w14:textId="77777777" w:rsidR="001852BD" w:rsidRDefault="684DC9E9" w:rsidP="7E78CA59">
      <w:pPr>
        <w:rPr>
          <w:rFonts w:ascii="Open Sans" w:eastAsia="Open Sans" w:hAnsi="Open Sans" w:cs="Open Sans"/>
        </w:rPr>
      </w:pPr>
      <w:r w:rsidRPr="7E78CA59">
        <w:rPr>
          <w:rFonts w:ascii="Open Sans" w:eastAsia="Open Sans" w:hAnsi="Open Sans" w:cs="Open Sans"/>
        </w:rPr>
        <w:t> </w:t>
      </w:r>
    </w:p>
    <w:p w14:paraId="27A03DFB" w14:textId="42656B17" w:rsidR="001852BD" w:rsidRPr="001852BD" w:rsidRDefault="684DC9E9" w:rsidP="7E78CA59">
      <w:pPr>
        <w:pStyle w:val="ListParagraph"/>
        <w:numPr>
          <w:ilvl w:val="0"/>
          <w:numId w:val="32"/>
        </w:numPr>
        <w:rPr>
          <w:rFonts w:ascii="Open Sans" w:eastAsia="Open Sans" w:hAnsi="Open Sans" w:cs="Open Sans"/>
          <w:b/>
          <w:bCs/>
        </w:rPr>
      </w:pPr>
      <w:r w:rsidRPr="7E78CA59">
        <w:rPr>
          <w:rFonts w:ascii="Open Sans" w:eastAsia="Open Sans" w:hAnsi="Open Sans" w:cs="Open Sans"/>
          <w:b/>
          <w:bCs/>
        </w:rPr>
        <w:t>Reentry Initiatives</w:t>
      </w:r>
    </w:p>
    <w:p w14:paraId="73999EDC" w14:textId="77777777" w:rsidR="001852BD" w:rsidRPr="001852BD" w:rsidRDefault="684DC9E9" w:rsidP="7E78CA59">
      <w:pPr>
        <w:rPr>
          <w:rFonts w:ascii="Open Sans" w:eastAsia="Open Sans" w:hAnsi="Open Sans" w:cs="Open Sans"/>
        </w:rPr>
      </w:pPr>
      <w:r w:rsidRPr="7E78CA59">
        <w:rPr>
          <w:rFonts w:ascii="Open Sans" w:eastAsia="Open Sans" w:hAnsi="Open Sans" w:cs="Open Sans"/>
        </w:rPr>
        <w:t>Programs and services eligible under this program priority include, but are not limited to, the following:    </w:t>
      </w:r>
    </w:p>
    <w:p w14:paraId="6770446C" w14:textId="0B3D61F6" w:rsidR="001852BD" w:rsidRPr="001852BD" w:rsidRDefault="684DC9E9" w:rsidP="7E78CA59">
      <w:pPr>
        <w:numPr>
          <w:ilvl w:val="0"/>
          <w:numId w:val="6"/>
        </w:numPr>
        <w:rPr>
          <w:rFonts w:ascii="Open Sans" w:eastAsia="Open Sans" w:hAnsi="Open Sans" w:cs="Open Sans"/>
        </w:rPr>
      </w:pPr>
      <w:r w:rsidRPr="7E78CA59">
        <w:rPr>
          <w:rFonts w:ascii="Open Sans" w:eastAsia="Open Sans" w:hAnsi="Open Sans" w:cs="Open Sans"/>
          <w:b/>
          <w:bCs/>
        </w:rPr>
        <w:t>Employment Assistance:</w:t>
      </w:r>
      <w:r w:rsidRPr="7E78CA59">
        <w:rPr>
          <w:rFonts w:ascii="Open Sans" w:eastAsia="Open Sans" w:hAnsi="Open Sans" w:cs="Open Sans"/>
        </w:rPr>
        <w:t> offer job readiness training, resume building, and employment placement services; work with local employers to create opportunities for individuals with criminal records.  </w:t>
      </w:r>
    </w:p>
    <w:p w14:paraId="58FDCFA8" w14:textId="7E901EE0" w:rsidR="001852BD" w:rsidRPr="001852BD" w:rsidRDefault="684DC9E9" w:rsidP="7E78CA59">
      <w:pPr>
        <w:numPr>
          <w:ilvl w:val="0"/>
          <w:numId w:val="7"/>
        </w:numPr>
        <w:rPr>
          <w:rFonts w:ascii="Open Sans" w:eastAsia="Open Sans" w:hAnsi="Open Sans" w:cs="Open Sans"/>
        </w:rPr>
      </w:pPr>
      <w:r w:rsidRPr="7E78CA59">
        <w:rPr>
          <w:rFonts w:ascii="Open Sans" w:eastAsia="Open Sans" w:hAnsi="Open Sans" w:cs="Open Sans"/>
          <w:b/>
          <w:bCs/>
        </w:rPr>
        <w:t>Legal Assistance</w:t>
      </w:r>
      <w:r w:rsidRPr="7E78CA59">
        <w:rPr>
          <w:rFonts w:ascii="Open Sans" w:eastAsia="Open Sans" w:hAnsi="Open Sans" w:cs="Open Sans"/>
        </w:rPr>
        <w:t>: provide access to legal counsel and assistance with clearing criminal records, which is shown to improve employment prospects.  </w:t>
      </w:r>
    </w:p>
    <w:p w14:paraId="1C143381" w14:textId="794D24CC" w:rsidR="001852BD" w:rsidRPr="001852BD" w:rsidRDefault="684DC9E9" w:rsidP="7E78CA59">
      <w:pPr>
        <w:numPr>
          <w:ilvl w:val="0"/>
          <w:numId w:val="8"/>
        </w:numPr>
        <w:rPr>
          <w:rFonts w:ascii="Open Sans" w:eastAsia="Open Sans" w:hAnsi="Open Sans" w:cs="Open Sans"/>
        </w:rPr>
      </w:pPr>
      <w:r w:rsidRPr="7E78CA59">
        <w:rPr>
          <w:rFonts w:ascii="Open Sans" w:eastAsia="Open Sans" w:hAnsi="Open Sans" w:cs="Open Sans"/>
          <w:b/>
          <w:bCs/>
        </w:rPr>
        <w:t>Housing Assistance</w:t>
      </w:r>
      <w:r w:rsidRPr="7E78CA59">
        <w:rPr>
          <w:rFonts w:ascii="Open Sans" w:eastAsia="Open Sans" w:hAnsi="Open Sans" w:cs="Open Sans"/>
        </w:rPr>
        <w:t>: assist participants in securing stable housing through partnerships with local housing agencies and landlords. </w:t>
      </w:r>
    </w:p>
    <w:p w14:paraId="4E089CAD" w14:textId="3ECA8CC2" w:rsidR="001852BD" w:rsidRPr="001852BD" w:rsidRDefault="684DC9E9" w:rsidP="7E78CA59">
      <w:pPr>
        <w:numPr>
          <w:ilvl w:val="0"/>
          <w:numId w:val="9"/>
        </w:numPr>
        <w:rPr>
          <w:rFonts w:ascii="Open Sans" w:eastAsia="Open Sans" w:hAnsi="Open Sans" w:cs="Open Sans"/>
        </w:rPr>
      </w:pPr>
      <w:r w:rsidRPr="7E78CA59">
        <w:rPr>
          <w:rFonts w:ascii="Open Sans" w:eastAsia="Open Sans" w:hAnsi="Open Sans" w:cs="Open Sans"/>
          <w:b/>
          <w:bCs/>
        </w:rPr>
        <w:t>Social Support and Mental Health Services</w:t>
      </w:r>
      <w:r w:rsidRPr="7E78CA59">
        <w:rPr>
          <w:rFonts w:ascii="Open Sans" w:eastAsia="Open Sans" w:hAnsi="Open Sans" w:cs="Open Sans"/>
        </w:rPr>
        <w:t>: offer mental health services, peer support groups, and connections to family reunification services. </w:t>
      </w:r>
    </w:p>
    <w:p w14:paraId="3B6F7742" w14:textId="14024B9F" w:rsidR="001852BD" w:rsidRPr="001852BD" w:rsidRDefault="684DC9E9" w:rsidP="7E78CA59">
      <w:pPr>
        <w:numPr>
          <w:ilvl w:val="0"/>
          <w:numId w:val="10"/>
        </w:numPr>
        <w:rPr>
          <w:rFonts w:ascii="Open Sans" w:eastAsia="Open Sans" w:hAnsi="Open Sans" w:cs="Open Sans"/>
        </w:rPr>
      </w:pPr>
      <w:r w:rsidRPr="7E78CA59">
        <w:rPr>
          <w:rFonts w:ascii="Open Sans" w:eastAsia="Open Sans" w:hAnsi="Open Sans" w:cs="Open Sans"/>
          <w:b/>
          <w:bCs/>
        </w:rPr>
        <w:t>Educational and Vocational Training</w:t>
      </w:r>
      <w:r w:rsidRPr="7E78CA59">
        <w:rPr>
          <w:rFonts w:ascii="Open Sans" w:eastAsia="Open Sans" w:hAnsi="Open Sans" w:cs="Open Sans"/>
        </w:rPr>
        <w:t>: provide access to GED programs, vocational training, and higher education opportunities. By addressing this gap, the program aims to increase educational attainment and career readiness. </w:t>
      </w:r>
    </w:p>
    <w:p w14:paraId="3E3EF3B9" w14:textId="5233D586" w:rsidR="001852BD" w:rsidRPr="001852BD" w:rsidRDefault="684DC9E9" w:rsidP="7E78CA59">
      <w:pPr>
        <w:numPr>
          <w:ilvl w:val="0"/>
          <w:numId w:val="11"/>
        </w:numPr>
        <w:rPr>
          <w:rFonts w:ascii="Open Sans" w:eastAsia="Open Sans" w:hAnsi="Open Sans" w:cs="Open Sans"/>
        </w:rPr>
      </w:pPr>
      <w:r w:rsidRPr="7E78CA59">
        <w:rPr>
          <w:rFonts w:ascii="Open Sans" w:eastAsia="Open Sans" w:hAnsi="Open Sans" w:cs="Open Sans"/>
          <w:b/>
          <w:bCs/>
        </w:rPr>
        <w:t>Financial Literacy and Basic Sustenance Needs</w:t>
      </w:r>
      <w:r w:rsidRPr="7E78CA59">
        <w:rPr>
          <w:rFonts w:ascii="Open Sans" w:eastAsia="Open Sans" w:hAnsi="Open Sans" w:cs="Open Sans"/>
        </w:rPr>
        <w:t>: financial literacy education to teach budgeting, general and retirement savings, and managing debt; provide access to food, clothing, transportation, and other basic needs.  </w:t>
      </w:r>
    </w:p>
    <w:p w14:paraId="1018C465" w14:textId="3D4F8460" w:rsidR="001852BD" w:rsidRPr="001852BD" w:rsidRDefault="684DC9E9" w:rsidP="7E78CA59">
      <w:pPr>
        <w:numPr>
          <w:ilvl w:val="0"/>
          <w:numId w:val="12"/>
        </w:numPr>
        <w:rPr>
          <w:rFonts w:ascii="Open Sans" w:eastAsia="Open Sans" w:hAnsi="Open Sans" w:cs="Open Sans"/>
        </w:rPr>
      </w:pPr>
      <w:r w:rsidRPr="7E78CA59">
        <w:rPr>
          <w:rFonts w:ascii="Open Sans" w:eastAsia="Open Sans" w:hAnsi="Open Sans" w:cs="Open Sans"/>
          <w:b/>
          <w:bCs/>
        </w:rPr>
        <w:t>Family Support Services</w:t>
      </w:r>
      <w:r w:rsidRPr="7E78CA59">
        <w:rPr>
          <w:rFonts w:ascii="Open Sans" w:eastAsia="Open Sans" w:hAnsi="Open Sans" w:cs="Open Sans"/>
        </w:rPr>
        <w:t>: offer family counseling, parenting classes, childcare support services and conflict resolution workshops to help individuals rebuild connections with their families.  </w:t>
      </w:r>
    </w:p>
    <w:p w14:paraId="3FC911E5" w14:textId="3E6522C3" w:rsidR="001852BD" w:rsidRPr="001852BD" w:rsidRDefault="684DC9E9" w:rsidP="7E78CA59">
      <w:pPr>
        <w:numPr>
          <w:ilvl w:val="0"/>
          <w:numId w:val="13"/>
        </w:numPr>
        <w:rPr>
          <w:rFonts w:ascii="Open Sans" w:eastAsia="Open Sans" w:hAnsi="Open Sans" w:cs="Open Sans"/>
        </w:rPr>
      </w:pPr>
      <w:r w:rsidRPr="7E78CA59">
        <w:rPr>
          <w:rFonts w:ascii="Open Sans" w:eastAsia="Open Sans" w:hAnsi="Open Sans" w:cs="Open Sans"/>
          <w:b/>
          <w:bCs/>
        </w:rPr>
        <w:t>Entrepreneurship Development: </w:t>
      </w:r>
      <w:r w:rsidRPr="7E78CA59">
        <w:rPr>
          <w:rFonts w:ascii="Open Sans" w:eastAsia="Open Sans" w:hAnsi="Open Sans" w:cs="Open Sans"/>
        </w:rPr>
        <w:t xml:space="preserve">offer business skills training, mentorship, and access to resources that foster entrepreneurial endeavors; help </w:t>
      </w:r>
      <w:r w:rsidRPr="7E78CA59">
        <w:rPr>
          <w:rFonts w:ascii="Open Sans" w:eastAsia="Open Sans" w:hAnsi="Open Sans" w:cs="Open Sans"/>
        </w:rPr>
        <w:lastRenderedPageBreak/>
        <w:t>individuals establish sustainable businesses, reducing dependency on low-wage employment and improving economic mobility. </w:t>
      </w:r>
    </w:p>
    <w:p w14:paraId="304604DB" w14:textId="6856C9C2" w:rsidR="001852BD" w:rsidRPr="001852BD" w:rsidRDefault="684DC9E9" w:rsidP="7E78CA59">
      <w:pPr>
        <w:numPr>
          <w:ilvl w:val="0"/>
          <w:numId w:val="21"/>
        </w:numPr>
        <w:rPr>
          <w:rFonts w:ascii="Open Sans" w:eastAsia="Open Sans" w:hAnsi="Open Sans" w:cs="Open Sans"/>
        </w:rPr>
      </w:pPr>
      <w:r w:rsidRPr="7E78CA59">
        <w:rPr>
          <w:rFonts w:ascii="Open Sans" w:eastAsia="Open Sans" w:hAnsi="Open Sans" w:cs="Open Sans"/>
          <w:b/>
          <w:bCs/>
        </w:rPr>
        <w:t>Development and Court Proceeding Education:</w:t>
      </w:r>
      <w:r w:rsidRPr="7E78CA59">
        <w:rPr>
          <w:rFonts w:ascii="Open Sans" w:eastAsia="Open Sans" w:hAnsi="Open Sans" w:cs="Open Sans"/>
        </w:rPr>
        <w:t> educational initiatives that empower individuals and their families with a better understanding of court processes, legal rights, and available resources, fostering informed decision-making. </w:t>
      </w:r>
    </w:p>
    <w:p w14:paraId="553926C7" w14:textId="6226BA64" w:rsidR="001852BD" w:rsidRPr="001852BD" w:rsidRDefault="684DC9E9" w:rsidP="7E78CA59">
      <w:pPr>
        <w:numPr>
          <w:ilvl w:val="0"/>
          <w:numId w:val="21"/>
        </w:numPr>
        <w:rPr>
          <w:rFonts w:ascii="Open Sans" w:eastAsia="Open Sans" w:hAnsi="Open Sans" w:cs="Open Sans"/>
        </w:rPr>
      </w:pPr>
      <w:r w:rsidRPr="7E78CA59">
        <w:rPr>
          <w:rFonts w:ascii="Open Sans" w:eastAsia="Open Sans" w:hAnsi="Open Sans" w:cs="Open Sans"/>
          <w:b/>
          <w:bCs/>
        </w:rPr>
        <w:t>Transportation Assistance: </w:t>
      </w:r>
      <w:r w:rsidRPr="7E78CA59">
        <w:rPr>
          <w:rFonts w:ascii="Open Sans" w:eastAsia="Open Sans" w:hAnsi="Open Sans" w:cs="Open Sans"/>
        </w:rPr>
        <w:t>address transportation barriers faced by individuals involved in the legal system, ensuring access to court hearings, legal appointments, and other essential services vital for successful reentry. </w:t>
      </w:r>
    </w:p>
    <w:p w14:paraId="46F29A66" w14:textId="254594C0" w:rsidR="001852BD" w:rsidRPr="001852BD" w:rsidRDefault="684DC9E9" w:rsidP="7E78CA59">
      <w:pPr>
        <w:numPr>
          <w:ilvl w:val="0"/>
          <w:numId w:val="21"/>
        </w:numPr>
        <w:rPr>
          <w:rFonts w:ascii="Open Sans" w:eastAsia="Open Sans" w:hAnsi="Open Sans" w:cs="Open Sans"/>
        </w:rPr>
      </w:pPr>
      <w:r w:rsidRPr="7E78CA59">
        <w:rPr>
          <w:rFonts w:ascii="Open Sans" w:eastAsia="Open Sans" w:hAnsi="Open Sans" w:cs="Open Sans"/>
          <w:b/>
          <w:bCs/>
        </w:rPr>
        <w:t>Technology Access: </w:t>
      </w:r>
      <w:r w:rsidRPr="7E78CA59">
        <w:rPr>
          <w:rFonts w:ascii="Open Sans" w:eastAsia="Open Sans" w:hAnsi="Open Sans" w:cs="Open Sans"/>
        </w:rPr>
        <w:t>bridge the digital divide by offering technology resources and training to enhance digital literacy skills, facilitating communication, access to legal information, and employment opportunities. </w:t>
      </w:r>
    </w:p>
    <w:p w14:paraId="641A1724" w14:textId="19DE8C1A" w:rsidR="001852BD" w:rsidRPr="001852BD" w:rsidRDefault="684DC9E9" w:rsidP="7E78CA59">
      <w:pPr>
        <w:numPr>
          <w:ilvl w:val="0"/>
          <w:numId w:val="21"/>
        </w:numPr>
        <w:rPr>
          <w:rFonts w:ascii="Open Sans" w:eastAsia="Open Sans" w:hAnsi="Open Sans" w:cs="Open Sans"/>
        </w:rPr>
      </w:pPr>
      <w:r w:rsidRPr="7E78CA59">
        <w:rPr>
          <w:rFonts w:ascii="Open Sans" w:eastAsia="Open Sans" w:hAnsi="Open Sans" w:cs="Open Sans"/>
          <w:b/>
          <w:bCs/>
        </w:rPr>
        <w:t>Transitional Housing: </w:t>
      </w:r>
      <w:r w:rsidRPr="7E78CA59">
        <w:rPr>
          <w:rFonts w:ascii="Open Sans" w:eastAsia="Open Sans" w:hAnsi="Open Sans" w:cs="Open Sans"/>
        </w:rPr>
        <w:t>offer housing for 3 to 6 months or more with the goal of permanent supportive housing; offer a stable and supportive environment for individuals and offer case management, counseling, and other supportive services. </w:t>
      </w:r>
    </w:p>
    <w:p w14:paraId="57F6A2FB" w14:textId="6E0393CB" w:rsidR="001852BD" w:rsidRPr="001852BD" w:rsidRDefault="684DC9E9" w:rsidP="7E78CA59">
      <w:pPr>
        <w:numPr>
          <w:ilvl w:val="0"/>
          <w:numId w:val="21"/>
        </w:numPr>
        <w:rPr>
          <w:rFonts w:ascii="Open Sans" w:eastAsia="Open Sans" w:hAnsi="Open Sans" w:cs="Open Sans"/>
        </w:rPr>
      </w:pPr>
      <w:r w:rsidRPr="7E78CA59">
        <w:rPr>
          <w:rFonts w:ascii="Open Sans" w:eastAsia="Open Sans" w:hAnsi="Open Sans" w:cs="Open Sans"/>
          <w:b/>
          <w:bCs/>
        </w:rPr>
        <w:t>Permanent Supportive Housing: </w:t>
      </w:r>
      <w:r w:rsidRPr="7E78CA59">
        <w:rPr>
          <w:rFonts w:ascii="Open Sans" w:eastAsia="Open Sans" w:hAnsi="Open Sans" w:cs="Open Sans"/>
        </w:rPr>
        <w:t>combine affordable housing with supportive services to meet the needs of individuals with complex challenges, such as mental health issues, substance use disorders, or chronic homelessness. Housing programs should follow the </w:t>
      </w:r>
      <w:hyperlink r:id="rId8">
        <w:r w:rsidRPr="7E78CA59">
          <w:rPr>
            <w:rStyle w:val="Hyperlink"/>
            <w:rFonts w:ascii="Open Sans" w:eastAsia="Open Sans" w:hAnsi="Open Sans" w:cs="Open Sans"/>
          </w:rPr>
          <w:t>Housing First model</w:t>
        </w:r>
      </w:hyperlink>
      <w:r w:rsidRPr="7E78CA59">
        <w:rPr>
          <w:rFonts w:ascii="Open Sans" w:eastAsia="Open Sans" w:hAnsi="Open Sans" w:cs="Open Sans"/>
        </w:rPr>
        <w:t>. </w:t>
      </w:r>
    </w:p>
    <w:p w14:paraId="2BD76E65" w14:textId="76F887F3" w:rsidR="001852BD" w:rsidRPr="001852BD" w:rsidRDefault="684DC9E9" w:rsidP="7E78CA59">
      <w:pPr>
        <w:numPr>
          <w:ilvl w:val="0"/>
          <w:numId w:val="21"/>
        </w:numPr>
        <w:rPr>
          <w:rFonts w:ascii="Open Sans" w:eastAsia="Open Sans" w:hAnsi="Open Sans" w:cs="Open Sans"/>
        </w:rPr>
      </w:pPr>
      <w:r w:rsidRPr="7E78CA59">
        <w:rPr>
          <w:rFonts w:ascii="Open Sans" w:eastAsia="Open Sans" w:hAnsi="Open Sans" w:cs="Open Sans"/>
          <w:b/>
          <w:bCs/>
        </w:rPr>
        <w:t>Tenant Education: </w:t>
      </w:r>
      <w:r w:rsidRPr="7E78CA59">
        <w:rPr>
          <w:rFonts w:ascii="Open Sans" w:eastAsia="Open Sans" w:hAnsi="Open Sans" w:cs="Open Sans"/>
        </w:rPr>
        <w:t>offer education on completing applications, obtaining IDs, building interview skills and financial literacy, and other related topics. </w:t>
      </w:r>
    </w:p>
    <w:p w14:paraId="02B2F229" w14:textId="77777777" w:rsidR="001852BD" w:rsidRPr="001852BD" w:rsidRDefault="684DC9E9" w:rsidP="7E78CA59">
      <w:pPr>
        <w:numPr>
          <w:ilvl w:val="0"/>
          <w:numId w:val="21"/>
        </w:numPr>
        <w:rPr>
          <w:rFonts w:ascii="Open Sans" w:eastAsia="Open Sans" w:hAnsi="Open Sans" w:cs="Open Sans"/>
        </w:rPr>
      </w:pPr>
      <w:r w:rsidRPr="7E78CA59">
        <w:rPr>
          <w:rFonts w:ascii="Open Sans" w:eastAsia="Open Sans" w:hAnsi="Open Sans" w:cs="Open Sans"/>
          <w:b/>
          <w:bCs/>
        </w:rPr>
        <w:t>Housing Supplies and Resources:</w:t>
      </w:r>
      <w:r w:rsidRPr="7E78CA59">
        <w:rPr>
          <w:rFonts w:ascii="Open Sans" w:eastAsia="Open Sans" w:hAnsi="Open Sans" w:cs="Open Sans"/>
        </w:rPr>
        <w:t> offer resources such as utilities, start-up kits, security deposits, IDs, and other needs. </w:t>
      </w:r>
    </w:p>
    <w:p w14:paraId="6F03437E" w14:textId="77777777" w:rsidR="001852BD" w:rsidRDefault="001852BD" w:rsidP="7E78CA59">
      <w:pPr>
        <w:rPr>
          <w:rFonts w:ascii="Open Sans" w:eastAsia="Open Sans" w:hAnsi="Open Sans" w:cs="Open Sans"/>
        </w:rPr>
      </w:pPr>
    </w:p>
    <w:p w14:paraId="3C5F3C17" w14:textId="559D6E3C" w:rsidR="001852BD" w:rsidRPr="001852BD" w:rsidRDefault="684DC9E9" w:rsidP="7E78CA59">
      <w:pPr>
        <w:pStyle w:val="ListParagraph"/>
        <w:numPr>
          <w:ilvl w:val="0"/>
          <w:numId w:val="32"/>
        </w:numPr>
        <w:rPr>
          <w:rFonts w:ascii="Open Sans" w:eastAsia="Open Sans" w:hAnsi="Open Sans" w:cs="Open Sans"/>
          <w:b/>
          <w:bCs/>
        </w:rPr>
      </w:pPr>
      <w:r w:rsidRPr="7E78CA59">
        <w:rPr>
          <w:rFonts w:ascii="Open Sans" w:eastAsia="Open Sans" w:hAnsi="Open Sans" w:cs="Open Sans"/>
          <w:b/>
          <w:bCs/>
        </w:rPr>
        <w:t>Youth Initiatives</w:t>
      </w:r>
    </w:p>
    <w:p w14:paraId="58845C47" w14:textId="77777777" w:rsidR="001852BD" w:rsidRPr="001852BD" w:rsidRDefault="684DC9E9" w:rsidP="7E78CA59">
      <w:pPr>
        <w:rPr>
          <w:rFonts w:ascii="Open Sans" w:eastAsia="Open Sans" w:hAnsi="Open Sans" w:cs="Open Sans"/>
        </w:rPr>
      </w:pPr>
      <w:r w:rsidRPr="7E78CA59">
        <w:rPr>
          <w:rFonts w:ascii="Open Sans" w:eastAsia="Open Sans" w:hAnsi="Open Sans" w:cs="Open Sans"/>
        </w:rPr>
        <w:t>Youth Initiatives eligible under this </w:t>
      </w:r>
      <w:proofErr w:type="gramStart"/>
      <w:r w:rsidRPr="7E78CA59">
        <w:rPr>
          <w:rFonts w:ascii="Open Sans" w:eastAsia="Open Sans" w:hAnsi="Open Sans" w:cs="Open Sans"/>
        </w:rPr>
        <w:t>program priority</w:t>
      </w:r>
      <w:proofErr w:type="gramEnd"/>
      <w:r w:rsidRPr="7E78CA59">
        <w:rPr>
          <w:rFonts w:ascii="Open Sans" w:eastAsia="Open Sans" w:hAnsi="Open Sans" w:cs="Open Sans"/>
        </w:rPr>
        <w:t> include, but are not limited to, the following: </w:t>
      </w:r>
    </w:p>
    <w:p w14:paraId="68D4F3F8" w14:textId="77777777" w:rsidR="001852BD" w:rsidRPr="001852BD" w:rsidRDefault="684DC9E9" w:rsidP="7E78CA59">
      <w:pPr>
        <w:numPr>
          <w:ilvl w:val="0"/>
          <w:numId w:val="22"/>
        </w:numPr>
        <w:rPr>
          <w:rFonts w:ascii="Open Sans" w:eastAsia="Open Sans" w:hAnsi="Open Sans" w:cs="Open Sans"/>
        </w:rPr>
      </w:pPr>
      <w:r w:rsidRPr="7E78CA59">
        <w:rPr>
          <w:rFonts w:ascii="Open Sans" w:eastAsia="Open Sans" w:hAnsi="Open Sans" w:cs="Open Sans"/>
          <w:b/>
          <w:bCs/>
        </w:rPr>
        <w:lastRenderedPageBreak/>
        <w:t>Nutritional Education: </w:t>
      </w:r>
      <w:r w:rsidRPr="7E78CA59">
        <w:rPr>
          <w:rFonts w:ascii="Open Sans" w:eastAsia="Open Sans" w:hAnsi="Open Sans" w:cs="Open Sans"/>
        </w:rPr>
        <w:t>offer services to empower youth to make informed food choices through hands on learning about healthy eating, meal preparation, food safety, cooking demonstrations, access to fresh produce and education on the impact of nutrition on physical and mental health. </w:t>
      </w:r>
    </w:p>
    <w:p w14:paraId="4CA06BAD" w14:textId="77777777" w:rsidR="001852BD" w:rsidRPr="001852BD" w:rsidRDefault="684DC9E9" w:rsidP="7E78CA59">
      <w:pPr>
        <w:rPr>
          <w:rFonts w:ascii="Open Sans" w:eastAsia="Open Sans" w:hAnsi="Open Sans" w:cs="Open Sans"/>
        </w:rPr>
      </w:pPr>
      <w:r w:rsidRPr="7E78CA59">
        <w:rPr>
          <w:rFonts w:ascii="Open Sans" w:eastAsia="Open Sans" w:hAnsi="Open Sans" w:cs="Open Sans"/>
        </w:rPr>
        <w:t> </w:t>
      </w:r>
    </w:p>
    <w:p w14:paraId="288597BF" w14:textId="31BB7133" w:rsidR="001852BD" w:rsidRPr="001852BD" w:rsidRDefault="684DC9E9" w:rsidP="7E78CA59">
      <w:pPr>
        <w:numPr>
          <w:ilvl w:val="0"/>
          <w:numId w:val="23"/>
        </w:numPr>
        <w:rPr>
          <w:rFonts w:ascii="Open Sans" w:eastAsia="Open Sans" w:hAnsi="Open Sans" w:cs="Open Sans"/>
        </w:rPr>
      </w:pPr>
      <w:r w:rsidRPr="7E78CA59">
        <w:rPr>
          <w:rFonts w:ascii="Open Sans" w:eastAsia="Open Sans" w:hAnsi="Open Sans" w:cs="Open Sans"/>
          <w:b/>
          <w:bCs/>
        </w:rPr>
        <w:t>Mental Health Support: </w:t>
      </w:r>
      <w:proofErr w:type="gramStart"/>
      <w:r w:rsidRPr="7E78CA59">
        <w:rPr>
          <w:rFonts w:ascii="Open Sans" w:eastAsia="Open Sans" w:hAnsi="Open Sans" w:cs="Open Sans"/>
        </w:rPr>
        <w:t>offer</w:t>
      </w:r>
      <w:proofErr w:type="gramEnd"/>
      <w:r w:rsidRPr="7E78CA59">
        <w:rPr>
          <w:rFonts w:ascii="Open Sans" w:eastAsia="Open Sans" w:hAnsi="Open Sans" w:cs="Open Sans"/>
        </w:rPr>
        <w:t xml:space="preserve"> access to licensed counselors, peer support groups, wellness workshops, and trauma informed care. Focuses on emotional regulation, stress management, and developing healthy coping strategies in a safe and stigma free environment.   </w:t>
      </w:r>
    </w:p>
    <w:p w14:paraId="3B474912" w14:textId="5A6B0ED6" w:rsidR="001852BD" w:rsidRPr="001852BD" w:rsidRDefault="684DC9E9" w:rsidP="7E78CA59">
      <w:pPr>
        <w:numPr>
          <w:ilvl w:val="0"/>
          <w:numId w:val="24"/>
        </w:numPr>
        <w:rPr>
          <w:rFonts w:ascii="Open Sans" w:eastAsia="Open Sans" w:hAnsi="Open Sans" w:cs="Open Sans"/>
        </w:rPr>
      </w:pPr>
      <w:r w:rsidRPr="7E78CA59">
        <w:rPr>
          <w:rFonts w:ascii="Open Sans" w:eastAsia="Open Sans" w:hAnsi="Open Sans" w:cs="Open Sans"/>
          <w:b/>
          <w:bCs/>
        </w:rPr>
        <w:t>Education and Academic Support: </w:t>
      </w:r>
      <w:r w:rsidRPr="7E78CA59">
        <w:rPr>
          <w:rFonts w:ascii="Open Sans" w:eastAsia="Open Sans" w:hAnsi="Open Sans" w:cs="Open Sans"/>
        </w:rPr>
        <w:t>offer tutoring, homework assistance, test preparation, and development of school engagement strategies. </w:t>
      </w:r>
    </w:p>
    <w:p w14:paraId="60F38D15" w14:textId="1705C401" w:rsidR="001852BD" w:rsidRPr="001852BD" w:rsidRDefault="684DC9E9" w:rsidP="7E78CA59">
      <w:pPr>
        <w:numPr>
          <w:ilvl w:val="0"/>
          <w:numId w:val="25"/>
        </w:numPr>
        <w:rPr>
          <w:rFonts w:ascii="Open Sans" w:eastAsia="Open Sans" w:hAnsi="Open Sans" w:cs="Open Sans"/>
        </w:rPr>
      </w:pPr>
      <w:r w:rsidRPr="7E78CA59">
        <w:rPr>
          <w:rFonts w:ascii="Open Sans" w:eastAsia="Open Sans" w:hAnsi="Open Sans" w:cs="Open Sans"/>
          <w:b/>
          <w:bCs/>
        </w:rPr>
        <w:t>Life Skill Training: </w:t>
      </w:r>
      <w:r w:rsidRPr="7E78CA59">
        <w:rPr>
          <w:rFonts w:ascii="Open Sans" w:eastAsia="Open Sans" w:hAnsi="Open Sans" w:cs="Open Sans"/>
        </w:rPr>
        <w:t>equip youth with essential skills for personal development and independence, such as decision making, conflict resolution, time management, communication, and goal setting using interactive workshops and real-world simulations. </w:t>
      </w:r>
    </w:p>
    <w:p w14:paraId="72BED262" w14:textId="3AF3AAD4" w:rsidR="001852BD" w:rsidRPr="001852BD" w:rsidRDefault="684DC9E9" w:rsidP="7E78CA59">
      <w:pPr>
        <w:numPr>
          <w:ilvl w:val="0"/>
          <w:numId w:val="26"/>
        </w:numPr>
        <w:rPr>
          <w:rFonts w:ascii="Open Sans" w:eastAsia="Open Sans" w:hAnsi="Open Sans" w:cs="Open Sans"/>
        </w:rPr>
      </w:pPr>
      <w:r w:rsidRPr="7E78CA59">
        <w:rPr>
          <w:rFonts w:ascii="Open Sans" w:eastAsia="Open Sans" w:hAnsi="Open Sans" w:cs="Open Sans"/>
          <w:b/>
          <w:bCs/>
        </w:rPr>
        <w:t>Leadership Development: </w:t>
      </w:r>
      <w:r w:rsidRPr="7E78CA59">
        <w:rPr>
          <w:rFonts w:ascii="Open Sans" w:eastAsia="Open Sans" w:hAnsi="Open Sans" w:cs="Open Sans"/>
        </w:rPr>
        <w:t>encourages youth to become active, confident leaders in their communities through leadership academies, civic engagement, public speaking, team-building exercises, and opportunities to lead youth-led initiatives or service projects. </w:t>
      </w:r>
    </w:p>
    <w:p w14:paraId="1D99DF22" w14:textId="77777777" w:rsidR="001852BD" w:rsidRPr="001852BD" w:rsidRDefault="684DC9E9" w:rsidP="7E78CA59">
      <w:pPr>
        <w:numPr>
          <w:ilvl w:val="0"/>
          <w:numId w:val="27"/>
        </w:numPr>
        <w:rPr>
          <w:rFonts w:ascii="Open Sans" w:eastAsia="Open Sans" w:hAnsi="Open Sans" w:cs="Open Sans"/>
        </w:rPr>
      </w:pPr>
      <w:r w:rsidRPr="7E78CA59">
        <w:rPr>
          <w:rFonts w:ascii="Open Sans" w:eastAsia="Open Sans" w:hAnsi="Open Sans" w:cs="Open Sans"/>
          <w:b/>
          <w:bCs/>
        </w:rPr>
        <w:t>Family and Community Involvement: </w:t>
      </w:r>
      <w:r w:rsidRPr="7E78CA59">
        <w:rPr>
          <w:rFonts w:ascii="Open Sans" w:eastAsia="Open Sans" w:hAnsi="Open Sans" w:cs="Open Sans"/>
        </w:rPr>
        <w:t>offer family workshops, community events, parent engagement strategies, and intergenerational mentorship. </w:t>
      </w:r>
    </w:p>
    <w:p w14:paraId="3311D3A0" w14:textId="77777777" w:rsidR="001852BD" w:rsidRPr="001852BD" w:rsidRDefault="684DC9E9" w:rsidP="7E78CA59">
      <w:pPr>
        <w:rPr>
          <w:rFonts w:ascii="Open Sans" w:eastAsia="Open Sans" w:hAnsi="Open Sans" w:cs="Open Sans"/>
        </w:rPr>
      </w:pPr>
      <w:r w:rsidRPr="7E78CA59">
        <w:rPr>
          <w:rFonts w:ascii="Open Sans" w:eastAsia="Open Sans" w:hAnsi="Open Sans" w:cs="Open Sans"/>
        </w:rPr>
        <w:t> </w:t>
      </w:r>
    </w:p>
    <w:p w14:paraId="1A48EE55" w14:textId="5BC48BFF" w:rsidR="001852BD" w:rsidRPr="001852BD" w:rsidRDefault="684DC9E9" w:rsidP="7E78CA59">
      <w:pPr>
        <w:numPr>
          <w:ilvl w:val="0"/>
          <w:numId w:val="28"/>
        </w:numPr>
        <w:rPr>
          <w:rFonts w:ascii="Open Sans" w:eastAsia="Open Sans" w:hAnsi="Open Sans" w:cs="Open Sans"/>
        </w:rPr>
      </w:pPr>
      <w:r w:rsidRPr="7E78CA59">
        <w:rPr>
          <w:rFonts w:ascii="Open Sans" w:eastAsia="Open Sans" w:hAnsi="Open Sans" w:cs="Open Sans"/>
          <w:b/>
          <w:bCs/>
        </w:rPr>
        <w:t>Physical Health: </w:t>
      </w:r>
      <w:r w:rsidRPr="7E78CA59">
        <w:rPr>
          <w:rFonts w:ascii="Open Sans" w:eastAsia="Open Sans" w:hAnsi="Open Sans" w:cs="Open Sans"/>
        </w:rPr>
        <w:t>promotes active and healthy lifestyles through fitness programs, sports and recreation, health screenings, and education on topics such as hygiene, sleep, substance prevention, and personal wellness. </w:t>
      </w:r>
    </w:p>
    <w:p w14:paraId="48CB4D64" w14:textId="05CF32A3" w:rsidR="001852BD" w:rsidRPr="001852BD" w:rsidRDefault="684DC9E9" w:rsidP="7E78CA59">
      <w:pPr>
        <w:numPr>
          <w:ilvl w:val="0"/>
          <w:numId w:val="29"/>
        </w:numPr>
        <w:rPr>
          <w:rFonts w:ascii="Open Sans" w:eastAsia="Open Sans" w:hAnsi="Open Sans" w:cs="Open Sans"/>
        </w:rPr>
      </w:pPr>
      <w:r w:rsidRPr="7E78CA59">
        <w:rPr>
          <w:rFonts w:ascii="Open Sans" w:eastAsia="Open Sans" w:hAnsi="Open Sans" w:cs="Open Sans"/>
          <w:b/>
          <w:bCs/>
        </w:rPr>
        <w:t>Financial Literacy: </w:t>
      </w:r>
      <w:r w:rsidRPr="7E78CA59">
        <w:rPr>
          <w:rFonts w:ascii="Open Sans" w:eastAsia="Open Sans" w:hAnsi="Open Sans" w:cs="Open Sans"/>
        </w:rPr>
        <w:t>provide education on budgeting, saving, banking, credit management, and responsible consumer behavior. Programs may include partnerships with financial institutions and real-world simulations. </w:t>
      </w:r>
    </w:p>
    <w:p w14:paraId="49F364B4" w14:textId="5BFC9083" w:rsidR="001852BD" w:rsidRPr="001852BD" w:rsidRDefault="684DC9E9" w:rsidP="7E78CA59">
      <w:pPr>
        <w:numPr>
          <w:ilvl w:val="0"/>
          <w:numId w:val="30"/>
        </w:numPr>
        <w:rPr>
          <w:rFonts w:ascii="Open Sans" w:eastAsia="Open Sans" w:hAnsi="Open Sans" w:cs="Open Sans"/>
        </w:rPr>
      </w:pPr>
      <w:r w:rsidRPr="7E78CA59">
        <w:rPr>
          <w:rFonts w:ascii="Open Sans" w:eastAsia="Open Sans" w:hAnsi="Open Sans" w:cs="Open Sans"/>
          <w:b/>
          <w:bCs/>
        </w:rPr>
        <w:t>Mentorship: </w:t>
      </w:r>
      <w:r w:rsidRPr="7E78CA59">
        <w:rPr>
          <w:rFonts w:ascii="Open Sans" w:eastAsia="Open Sans" w:hAnsi="Open Sans" w:cs="Open Sans"/>
        </w:rPr>
        <w:t xml:space="preserve">connect youth with trusted adult mentors who provide consistent guidance, encouragement, and role modeling. </w:t>
      </w:r>
      <w:r w:rsidRPr="7E78CA59">
        <w:rPr>
          <w:rFonts w:ascii="Open Sans" w:eastAsia="Open Sans" w:hAnsi="Open Sans" w:cs="Open Sans"/>
        </w:rPr>
        <w:lastRenderedPageBreak/>
        <w:t>Mentorship may be structured as one-on-one or group based and focuses on academic support, career guidance, and personal growth. </w:t>
      </w:r>
    </w:p>
    <w:p w14:paraId="196B35C5" w14:textId="77777777" w:rsidR="001852BD" w:rsidRPr="001852BD" w:rsidRDefault="684DC9E9" w:rsidP="7E78CA59">
      <w:pPr>
        <w:numPr>
          <w:ilvl w:val="0"/>
          <w:numId w:val="31"/>
        </w:numPr>
        <w:rPr>
          <w:rFonts w:ascii="Open Sans" w:eastAsia="Open Sans" w:hAnsi="Open Sans" w:cs="Open Sans"/>
        </w:rPr>
      </w:pPr>
      <w:r w:rsidRPr="7E78CA59">
        <w:rPr>
          <w:rFonts w:ascii="Open Sans" w:eastAsia="Open Sans" w:hAnsi="Open Sans" w:cs="Open Sans"/>
          <w:b/>
          <w:bCs/>
        </w:rPr>
        <w:t>Youth Entrepreneurship/Careers of the Future: </w:t>
      </w:r>
      <w:r w:rsidRPr="7E78CA59">
        <w:rPr>
          <w:rFonts w:ascii="Open Sans" w:eastAsia="Open Sans" w:hAnsi="Open Sans" w:cs="Open Sans"/>
        </w:rPr>
        <w:t>offer workforce preparation teaching entrepreneurial thinking, digital and technical skills, career exploration, and business development. Programs include startup labs, internships, resumé building, apprenticeships and exposure to high growth industries like technology, healthcare, manufacturing, and green energy. </w:t>
      </w:r>
    </w:p>
    <w:p w14:paraId="40FA7B04" w14:textId="77777777" w:rsidR="001852BD" w:rsidRPr="001852BD" w:rsidRDefault="684DC9E9" w:rsidP="7E78CA59">
      <w:pPr>
        <w:rPr>
          <w:rFonts w:ascii="Open Sans" w:eastAsia="Open Sans" w:hAnsi="Open Sans" w:cs="Open Sans"/>
        </w:rPr>
      </w:pPr>
      <w:r w:rsidRPr="7E78CA59">
        <w:rPr>
          <w:rFonts w:ascii="Open Sans" w:eastAsia="Open Sans" w:hAnsi="Open Sans" w:cs="Open Sans"/>
        </w:rPr>
        <w:t> </w:t>
      </w:r>
    </w:p>
    <w:p w14:paraId="201BE456" w14:textId="77777777" w:rsidR="001852BD" w:rsidRDefault="001852BD" w:rsidP="7E78CA59">
      <w:pPr>
        <w:rPr>
          <w:rFonts w:ascii="Open Sans" w:eastAsia="Open Sans" w:hAnsi="Open Sans" w:cs="Open Sans"/>
        </w:rPr>
      </w:pPr>
    </w:p>
    <w:sectPr w:rsidR="001852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altName w:val="Segoe UI"/>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1F63"/>
    <w:multiLevelType w:val="multilevel"/>
    <w:tmpl w:val="A5809B7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F027FEB"/>
    <w:multiLevelType w:val="multilevel"/>
    <w:tmpl w:val="6F244D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2533DB1"/>
    <w:multiLevelType w:val="multilevel"/>
    <w:tmpl w:val="00E0F6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9F3243C"/>
    <w:multiLevelType w:val="multilevel"/>
    <w:tmpl w:val="B57869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12B2752"/>
    <w:multiLevelType w:val="multilevel"/>
    <w:tmpl w:val="562E7BE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1D10C99"/>
    <w:multiLevelType w:val="multilevel"/>
    <w:tmpl w:val="E75E88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2D91592"/>
    <w:multiLevelType w:val="multilevel"/>
    <w:tmpl w:val="7F4E48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5986DFA"/>
    <w:multiLevelType w:val="hybridMultilevel"/>
    <w:tmpl w:val="DE062C3E"/>
    <w:lvl w:ilvl="0" w:tplc="94F4E7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E018D5"/>
    <w:multiLevelType w:val="multilevel"/>
    <w:tmpl w:val="BE80EF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CE92462"/>
    <w:multiLevelType w:val="multilevel"/>
    <w:tmpl w:val="F5401C4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F0A60C0"/>
    <w:multiLevelType w:val="multilevel"/>
    <w:tmpl w:val="EA9CEA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FAE65BE"/>
    <w:multiLevelType w:val="multilevel"/>
    <w:tmpl w:val="F05CB5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5704DEB"/>
    <w:multiLevelType w:val="multilevel"/>
    <w:tmpl w:val="E4FA00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8751BE0"/>
    <w:multiLevelType w:val="multilevel"/>
    <w:tmpl w:val="1212BE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43B3CBC"/>
    <w:multiLevelType w:val="hybridMultilevel"/>
    <w:tmpl w:val="8F96EF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8F0514"/>
    <w:multiLevelType w:val="multilevel"/>
    <w:tmpl w:val="141245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9946E39"/>
    <w:multiLevelType w:val="multilevel"/>
    <w:tmpl w:val="AA1EB2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2327D4E"/>
    <w:multiLevelType w:val="multilevel"/>
    <w:tmpl w:val="FF7E28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39F3EF3"/>
    <w:multiLevelType w:val="multilevel"/>
    <w:tmpl w:val="8662CE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5415696A"/>
    <w:multiLevelType w:val="multilevel"/>
    <w:tmpl w:val="ABF68BC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6C224F6"/>
    <w:multiLevelType w:val="multilevel"/>
    <w:tmpl w:val="50AC668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7286136"/>
    <w:multiLevelType w:val="multilevel"/>
    <w:tmpl w:val="1B3887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9A30A8A"/>
    <w:multiLevelType w:val="multilevel"/>
    <w:tmpl w:val="E18EA0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A5D593F"/>
    <w:multiLevelType w:val="multilevel"/>
    <w:tmpl w:val="10DC27F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3A87C69"/>
    <w:multiLevelType w:val="multilevel"/>
    <w:tmpl w:val="24A420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6BC249CC"/>
    <w:multiLevelType w:val="multilevel"/>
    <w:tmpl w:val="AC62A5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6C942F3D"/>
    <w:multiLevelType w:val="multilevel"/>
    <w:tmpl w:val="D78C91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709B3924"/>
    <w:multiLevelType w:val="multilevel"/>
    <w:tmpl w:val="8E76C8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78E83A90"/>
    <w:multiLevelType w:val="multilevel"/>
    <w:tmpl w:val="BFEA0A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7A126967"/>
    <w:multiLevelType w:val="multilevel"/>
    <w:tmpl w:val="BD3C4C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7B222D3A"/>
    <w:multiLevelType w:val="multilevel"/>
    <w:tmpl w:val="8A9886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7F25065D"/>
    <w:multiLevelType w:val="multilevel"/>
    <w:tmpl w:val="75C439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709643980">
    <w:abstractNumId w:val="25"/>
  </w:num>
  <w:num w:numId="2" w16cid:durableId="1527400514">
    <w:abstractNumId w:val="31"/>
  </w:num>
  <w:num w:numId="3" w16cid:durableId="402217849">
    <w:abstractNumId w:val="17"/>
  </w:num>
  <w:num w:numId="4" w16cid:durableId="1040592322">
    <w:abstractNumId w:val="30"/>
  </w:num>
  <w:num w:numId="5" w16cid:durableId="709493134">
    <w:abstractNumId w:val="6"/>
  </w:num>
  <w:num w:numId="6" w16cid:durableId="33117737">
    <w:abstractNumId w:val="11"/>
  </w:num>
  <w:num w:numId="7" w16cid:durableId="1829125247">
    <w:abstractNumId w:val="8"/>
  </w:num>
  <w:num w:numId="8" w16cid:durableId="671032619">
    <w:abstractNumId w:val="3"/>
  </w:num>
  <w:num w:numId="9" w16cid:durableId="935357626">
    <w:abstractNumId w:val="1"/>
  </w:num>
  <w:num w:numId="10" w16cid:durableId="1894733944">
    <w:abstractNumId w:val="24"/>
  </w:num>
  <w:num w:numId="11" w16cid:durableId="1660117464">
    <w:abstractNumId w:val="13"/>
  </w:num>
  <w:num w:numId="12" w16cid:durableId="987906334">
    <w:abstractNumId w:val="28"/>
  </w:num>
  <w:num w:numId="13" w16cid:durableId="963080998">
    <w:abstractNumId w:val="18"/>
  </w:num>
  <w:num w:numId="14" w16cid:durableId="1278215897">
    <w:abstractNumId w:val="22"/>
  </w:num>
  <w:num w:numId="15" w16cid:durableId="1501962267">
    <w:abstractNumId w:val="23"/>
  </w:num>
  <w:num w:numId="16" w16cid:durableId="625114894">
    <w:abstractNumId w:val="20"/>
  </w:num>
  <w:num w:numId="17" w16cid:durableId="724261601">
    <w:abstractNumId w:val="0"/>
  </w:num>
  <w:num w:numId="18" w16cid:durableId="1099911275">
    <w:abstractNumId w:val="9"/>
  </w:num>
  <w:num w:numId="19" w16cid:durableId="501508680">
    <w:abstractNumId w:val="19"/>
  </w:num>
  <w:num w:numId="20" w16cid:durableId="1279334648">
    <w:abstractNumId w:val="4"/>
  </w:num>
  <w:num w:numId="21" w16cid:durableId="802649747">
    <w:abstractNumId w:val="14"/>
  </w:num>
  <w:num w:numId="22" w16cid:durableId="79523890">
    <w:abstractNumId w:val="2"/>
  </w:num>
  <w:num w:numId="23" w16cid:durableId="1050182">
    <w:abstractNumId w:val="27"/>
  </w:num>
  <w:num w:numId="24" w16cid:durableId="1510564538">
    <w:abstractNumId w:val="16"/>
  </w:num>
  <w:num w:numId="25" w16cid:durableId="514081630">
    <w:abstractNumId w:val="15"/>
  </w:num>
  <w:num w:numId="26" w16cid:durableId="471214173">
    <w:abstractNumId w:val="10"/>
  </w:num>
  <w:num w:numId="27" w16cid:durableId="377903262">
    <w:abstractNumId w:val="12"/>
  </w:num>
  <w:num w:numId="28" w16cid:durableId="1487472703">
    <w:abstractNumId w:val="26"/>
  </w:num>
  <w:num w:numId="29" w16cid:durableId="1802722038">
    <w:abstractNumId w:val="29"/>
  </w:num>
  <w:num w:numId="30" w16cid:durableId="1948342685">
    <w:abstractNumId w:val="21"/>
  </w:num>
  <w:num w:numId="31" w16cid:durableId="1856914920">
    <w:abstractNumId w:val="5"/>
  </w:num>
  <w:num w:numId="32" w16cid:durableId="6159115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2BD"/>
    <w:rsid w:val="00110F2F"/>
    <w:rsid w:val="001852BD"/>
    <w:rsid w:val="00191EAD"/>
    <w:rsid w:val="00447D1B"/>
    <w:rsid w:val="00500416"/>
    <w:rsid w:val="005859CF"/>
    <w:rsid w:val="009F6F35"/>
    <w:rsid w:val="00A147BA"/>
    <w:rsid w:val="00A44D1A"/>
    <w:rsid w:val="03F79C5F"/>
    <w:rsid w:val="104C84E5"/>
    <w:rsid w:val="19EA414A"/>
    <w:rsid w:val="1B133802"/>
    <w:rsid w:val="24DBD695"/>
    <w:rsid w:val="297C6707"/>
    <w:rsid w:val="419AD1D3"/>
    <w:rsid w:val="41B12E23"/>
    <w:rsid w:val="64EE3A89"/>
    <w:rsid w:val="684DC9E9"/>
    <w:rsid w:val="6A7D6F0B"/>
    <w:rsid w:val="7E78C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B0162"/>
  <w15:chartTrackingRefBased/>
  <w15:docId w15:val="{AA8B341F-1A54-473D-B36B-C7E38EFF5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2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52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52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52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52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52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2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2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2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2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52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52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52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52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52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2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2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2BD"/>
    <w:rPr>
      <w:rFonts w:eastAsiaTheme="majorEastAsia" w:cstheme="majorBidi"/>
      <w:color w:val="272727" w:themeColor="text1" w:themeTint="D8"/>
    </w:rPr>
  </w:style>
  <w:style w:type="paragraph" w:styleId="Title">
    <w:name w:val="Title"/>
    <w:basedOn w:val="Normal"/>
    <w:next w:val="Normal"/>
    <w:link w:val="TitleChar"/>
    <w:uiPriority w:val="10"/>
    <w:qFormat/>
    <w:rsid w:val="001852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2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2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2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2BD"/>
    <w:pPr>
      <w:spacing w:before="160"/>
      <w:jc w:val="center"/>
    </w:pPr>
    <w:rPr>
      <w:i/>
      <w:iCs/>
      <w:color w:val="404040" w:themeColor="text1" w:themeTint="BF"/>
    </w:rPr>
  </w:style>
  <w:style w:type="character" w:customStyle="1" w:styleId="QuoteChar">
    <w:name w:val="Quote Char"/>
    <w:basedOn w:val="DefaultParagraphFont"/>
    <w:link w:val="Quote"/>
    <w:uiPriority w:val="29"/>
    <w:rsid w:val="001852BD"/>
    <w:rPr>
      <w:i/>
      <w:iCs/>
      <w:color w:val="404040" w:themeColor="text1" w:themeTint="BF"/>
    </w:rPr>
  </w:style>
  <w:style w:type="paragraph" w:styleId="ListParagraph">
    <w:name w:val="List Paragraph"/>
    <w:basedOn w:val="Normal"/>
    <w:uiPriority w:val="34"/>
    <w:qFormat/>
    <w:rsid w:val="001852BD"/>
    <w:pPr>
      <w:ind w:left="720"/>
      <w:contextualSpacing/>
    </w:pPr>
  </w:style>
  <w:style w:type="character" w:styleId="IntenseEmphasis">
    <w:name w:val="Intense Emphasis"/>
    <w:basedOn w:val="DefaultParagraphFont"/>
    <w:uiPriority w:val="21"/>
    <w:qFormat/>
    <w:rsid w:val="001852BD"/>
    <w:rPr>
      <w:i/>
      <w:iCs/>
      <w:color w:val="0F4761" w:themeColor="accent1" w:themeShade="BF"/>
    </w:rPr>
  </w:style>
  <w:style w:type="paragraph" w:styleId="IntenseQuote">
    <w:name w:val="Intense Quote"/>
    <w:basedOn w:val="Normal"/>
    <w:next w:val="Normal"/>
    <w:link w:val="IntenseQuoteChar"/>
    <w:uiPriority w:val="30"/>
    <w:qFormat/>
    <w:rsid w:val="001852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2BD"/>
    <w:rPr>
      <w:i/>
      <w:iCs/>
      <w:color w:val="0F4761" w:themeColor="accent1" w:themeShade="BF"/>
    </w:rPr>
  </w:style>
  <w:style w:type="character" w:styleId="IntenseReference">
    <w:name w:val="Intense Reference"/>
    <w:basedOn w:val="DefaultParagraphFont"/>
    <w:uiPriority w:val="32"/>
    <w:qFormat/>
    <w:rsid w:val="001852BD"/>
    <w:rPr>
      <w:b/>
      <w:bCs/>
      <w:smallCaps/>
      <w:color w:val="0F4761" w:themeColor="accent1" w:themeShade="BF"/>
      <w:spacing w:val="5"/>
    </w:rPr>
  </w:style>
  <w:style w:type="character" w:styleId="Hyperlink">
    <w:name w:val="Hyperlink"/>
    <w:basedOn w:val="DefaultParagraphFont"/>
    <w:uiPriority w:val="99"/>
    <w:unhideWhenUsed/>
    <w:rsid w:val="001852BD"/>
    <w:rPr>
      <w:color w:val="467886" w:themeColor="hyperlink"/>
      <w:u w:val="single"/>
    </w:rPr>
  </w:style>
  <w:style w:type="character" w:styleId="UnresolvedMention">
    <w:name w:val="Unresolved Mention"/>
    <w:basedOn w:val="DefaultParagraphFont"/>
    <w:uiPriority w:val="99"/>
    <w:semiHidden/>
    <w:unhideWhenUsed/>
    <w:rsid w:val="00185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gov/HOMELESS/nchav/docs/Research_Brief-May2023-The_Evidence_Behind_the_Housing_First_Model-Tsai_508c.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f3b832-97e9-42a6-b7ed-073ef26207c2">
      <Terms xmlns="http://schemas.microsoft.com/office/infopath/2007/PartnerControls"/>
    </lcf76f155ced4ddcb4097134ff3c332f>
    <TaxCatchAll xmlns="f85a7b58-40a6-4cc3-a706-aec8a4c9ea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2FC17EC6812148BA69E14C55B43457" ma:contentTypeVersion="19" ma:contentTypeDescription="Create a new document." ma:contentTypeScope="" ma:versionID="f0e710e9416e29ef2a59504edba5a0bf">
  <xsd:schema xmlns:xsd="http://www.w3.org/2001/XMLSchema" xmlns:xs="http://www.w3.org/2001/XMLSchema" xmlns:p="http://schemas.microsoft.com/office/2006/metadata/properties" xmlns:ns2="42f3b832-97e9-42a6-b7ed-073ef26207c2" xmlns:ns3="f85a7b58-40a6-4cc3-a706-aec8a4c9eae7" targetNamespace="http://schemas.microsoft.com/office/2006/metadata/properties" ma:root="true" ma:fieldsID="7691c07ba0d07585f48ce05d3bdf0258" ns2:_="" ns3:_="">
    <xsd:import namespace="42f3b832-97e9-42a6-b7ed-073ef26207c2"/>
    <xsd:import namespace="f85a7b58-40a6-4cc3-a706-aec8a4c9ea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3b832-97e9-42a6-b7ed-073ef2620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da4fce-7531-44d3-95b9-9ff87f19ff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5a7b58-40a6-4cc3-a706-aec8a4c9ea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a93911-e203-477c-b5bf-781a7ee5e501}" ma:internalName="TaxCatchAll" ma:showField="CatchAllData" ma:web="f85a7b58-40a6-4cc3-a706-aec8a4c9ea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115B19-4F30-442F-BFB7-FA0FDA2FDFB3}">
  <ds:schemaRefs>
    <ds:schemaRef ds:uri="http://schemas.microsoft.com/office/2006/metadata/properties"/>
    <ds:schemaRef ds:uri="http://schemas.microsoft.com/office/infopath/2007/PartnerControls"/>
    <ds:schemaRef ds:uri="42f3b832-97e9-42a6-b7ed-073ef26207c2"/>
    <ds:schemaRef ds:uri="f85a7b58-40a6-4cc3-a706-aec8a4c9eae7"/>
  </ds:schemaRefs>
</ds:datastoreItem>
</file>

<file path=customXml/itemProps2.xml><?xml version="1.0" encoding="utf-8"?>
<ds:datastoreItem xmlns:ds="http://schemas.openxmlformats.org/officeDocument/2006/customXml" ds:itemID="{1266BD79-C46D-48FB-BEB9-AC815D2DF098}">
  <ds:schemaRefs>
    <ds:schemaRef ds:uri="http://schemas.microsoft.com/sharepoint/v3/contenttype/forms"/>
  </ds:schemaRefs>
</ds:datastoreItem>
</file>

<file path=customXml/itemProps3.xml><?xml version="1.0" encoding="utf-8"?>
<ds:datastoreItem xmlns:ds="http://schemas.openxmlformats.org/officeDocument/2006/customXml" ds:itemID="{E8B7DE4F-E004-40CE-B009-CA8C72929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3b832-97e9-42a6-b7ed-073ef26207c2"/>
    <ds:schemaRef ds:uri="f85a7b58-40a6-4cc3-a706-aec8a4c9e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1081</Words>
  <Characters>6294</Characters>
  <Application>Microsoft Office Word</Application>
  <DocSecurity>0</DocSecurity>
  <Lines>524</Lines>
  <Paragraphs>199</Paragraphs>
  <ScaleCrop>false</ScaleCrop>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1</dc:creator>
  <cp:keywords/>
  <dc:description/>
  <cp:lastModifiedBy>Carli Herz</cp:lastModifiedBy>
  <cp:revision>5</cp:revision>
  <dcterms:created xsi:type="dcterms:W3CDTF">2026-04-26T23:12:00Z</dcterms:created>
  <dcterms:modified xsi:type="dcterms:W3CDTF">2026-05-15T17:43:00Z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0x0101008A2FC17EC6812148BA69E14C55B43457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MSIP_Label_f9f6798e-441e-4749-83a9-d20450844387_Enabled">
    <vt:lpwstr>true</vt:lpwstr>
  </property>
  <property fmtid="{D5CDD505-2E9C-101B-9397-08002B2CF9AE}" pid="8" name="MSIP_Label_f9f6798e-441e-4749-83a9-d20450844387_SetDate">
    <vt:lpwstr>2026-05-15T17:43:55Z</vt:lpwstr>
  </property>
  <property fmtid="{D5CDD505-2E9C-101B-9397-08002B2CF9AE}" pid="9" name="MSIP_Label_f9f6798e-441e-4749-83a9-d20450844387_Method">
    <vt:lpwstr>Standard</vt:lpwstr>
  </property>
  <property fmtid="{D5CDD505-2E9C-101B-9397-08002B2CF9AE}" pid="10" name="MSIP_Label_f9f6798e-441e-4749-83a9-d20450844387_Name">
    <vt:lpwstr>defa4170-0d19-0005-0004-bc88714345d2</vt:lpwstr>
  </property>
  <property fmtid="{D5CDD505-2E9C-101B-9397-08002B2CF9AE}" pid="11" name="MSIP_Label_f9f6798e-441e-4749-83a9-d20450844387_SiteId">
    <vt:lpwstr>9a103a77-855e-4ce7-a91a-bfbcd1c846b7</vt:lpwstr>
  </property>
  <property fmtid="{D5CDD505-2E9C-101B-9397-08002B2CF9AE}" pid="12" name="MSIP_Label_f9f6798e-441e-4749-83a9-d20450844387_ActionId">
    <vt:lpwstr>5183fa2d-f64d-4f43-8557-6e3cdf94f371</vt:lpwstr>
  </property>
  <property fmtid="{D5CDD505-2E9C-101B-9397-08002B2CF9AE}" pid="13" name="MSIP_Label_f9f6798e-441e-4749-83a9-d20450844387_ContentBits">
    <vt:lpwstr>0</vt:lpwstr>
  </property>
  <property fmtid="{D5CDD505-2E9C-101B-9397-08002B2CF9AE}" pid="14" name="MSIP_Label_f9f6798e-441e-4749-83a9-d20450844387_Tag">
    <vt:lpwstr>10, 3, 0, 1</vt:lpwstr>
  </property>
</Properties>
</file>